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CF1F" w14:textId="77777777" w:rsidR="00B675AD" w:rsidRPr="00E3717B" w:rsidRDefault="00B675A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W w:w="9640" w:type="dxa"/>
        <w:tblInd w:w="-1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0"/>
      </w:tblGrid>
      <w:tr w:rsidR="000A39F2" w:rsidRPr="00E3717B" w14:paraId="63F9243A" w14:textId="77777777" w:rsidTr="0062374D"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E38810" w14:textId="7F62E2EB" w:rsidR="00B675AD" w:rsidRPr="00E3717B" w:rsidRDefault="000C3A93" w:rsidP="002B6213">
            <w:pPr>
              <w:spacing w:beforeLines="1" w:before="2" w:afterLines="1" w:after="2" w:line="0" w:lineRule="atLeast"/>
              <w:outlineLvl w:val="0"/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457D447A" wp14:editId="14BFDAD6">
                  <wp:simplePos x="0" y="0"/>
                  <wp:positionH relativeFrom="margin">
                    <wp:posOffset>4393565</wp:posOffset>
                  </wp:positionH>
                  <wp:positionV relativeFrom="margin">
                    <wp:posOffset>15240</wp:posOffset>
                  </wp:positionV>
                  <wp:extent cx="1645920" cy="737870"/>
                  <wp:effectExtent l="0" t="0" r="0" b="5080"/>
                  <wp:wrapSquare wrapText="bothSides"/>
                  <wp:docPr id="4" name="Image 4" descr="C:\Users\Ibrahima Ka\Downloads\IPAR_logo_vert_rv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Ibrahima Ka\Downloads\IPAR_logo_vert_rv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0A3"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2C573A7F" wp14:editId="6444BE13">
                  <wp:simplePos x="0" y="0"/>
                  <wp:positionH relativeFrom="margin">
                    <wp:posOffset>2895600</wp:posOffset>
                  </wp:positionH>
                  <wp:positionV relativeFrom="margin">
                    <wp:posOffset>0</wp:posOffset>
                  </wp:positionV>
                  <wp:extent cx="1478915" cy="822960"/>
                  <wp:effectExtent l="0" t="0" r="6985" b="0"/>
                  <wp:wrapSquare wrapText="bothSides"/>
                  <wp:docPr id="1" name="Image 1" descr="C:\Users\HP\Downloads\ILC Africa Logo Oran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P\Downloads\ILC Africa Logo Oran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0A3">
              <w:rPr>
                <w:rFonts w:asciiTheme="majorHAnsi" w:hAnsiTheme="majorHAnsi"/>
                <w:b/>
                <w:noProof/>
                <w:kern w:val="36"/>
                <w:sz w:val="22"/>
                <w:szCs w:val="20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3803FBDE" wp14:editId="475AEA62">
                  <wp:simplePos x="0" y="0"/>
                  <wp:positionH relativeFrom="margin">
                    <wp:posOffset>1386205</wp:posOffset>
                  </wp:positionH>
                  <wp:positionV relativeFrom="margin">
                    <wp:posOffset>60960</wp:posOffset>
                  </wp:positionV>
                  <wp:extent cx="1645920" cy="7296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dex_CMYK_logo_horizontal_orange-black@300x-10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6309" w:rsidRPr="004E7BBD">
              <w:rPr>
                <w:rFonts w:ascii="Cambria" w:eastAsia="MS Mincho" w:hAnsi="Cambria" w:cs="Times New Roman"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66D487E5" wp14:editId="69419DF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1079932"/>
                  <wp:effectExtent l="0" t="0" r="0" b="6350"/>
                  <wp:wrapSquare wrapText="bothSides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A_Logo_Brwn_FINAL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35" cy="107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75AD" w:rsidRPr="00E3717B">
              <w:rPr>
                <w:rFonts w:asciiTheme="majorHAnsi" w:hAnsiTheme="majorHAnsi" w:cstheme="majorHAnsi"/>
                <w:b/>
                <w:noProof/>
                <w:kern w:val="36"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249CD" wp14:editId="1F160422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-30480</wp:posOffset>
                      </wp:positionV>
                      <wp:extent cx="18288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D4539" w14:textId="67CDF4DD" w:rsidR="00D40D1B" w:rsidRDefault="00D40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424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8.6pt;margin-top:-2.4pt;width:2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be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" filled="f" stroked="f">
                      <v:textbox>
                        <w:txbxContent>
                          <w:p w14:paraId="5E6D4539" w14:textId="67CDF4DD" w:rsidR="00D40D1B" w:rsidRDefault="00D40D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1CEB9A" w14:textId="0020A4E7" w:rsidR="004F6309" w:rsidRDefault="00B675AD" w:rsidP="004F6309">
            <w:pPr>
              <w:spacing w:beforeLines="1" w:before="2" w:afterLines="1" w:after="2" w:line="0" w:lineRule="atLeast"/>
              <w:outlineLvl w:val="0"/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</w:pPr>
            <w:r w:rsidRPr="00E3717B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</w:t>
            </w:r>
          </w:p>
          <w:p w14:paraId="410AA84E" w14:textId="192E82E1" w:rsidR="004F6309" w:rsidRDefault="005D4C78" w:rsidP="005D4C78">
            <w:pPr>
              <w:spacing w:beforeLines="1" w:before="2" w:afterLines="1" w:after="2" w:line="0" w:lineRule="atLeast"/>
              <w:jc w:val="both"/>
              <w:outlineLvl w:val="0"/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</w:pPr>
            <w:r w:rsidRP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MEASURING LAND INSECURITY IN SUB-SAHARAN AFRICA</w:t>
            </w:r>
            <w:r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:  FROM EVIDENCE TO ACTION</w:t>
            </w:r>
          </w:p>
          <w:p w14:paraId="17729A64" w14:textId="77777777" w:rsidR="00B675AD" w:rsidRDefault="009A3CA5" w:rsidP="004F6309">
            <w:pPr>
              <w:spacing w:beforeLines="1" w:before="2" w:afterLines="1" w:after="2" w:line="0" w:lineRule="atLeast"/>
              <w:outlineLvl w:val="0"/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Online Event</w:t>
            </w:r>
            <w:r w:rsidR="006E50A3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over ZOOM - 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2</w:t>
            </w:r>
            <w:r w:rsidR="004F6309" w:rsidRP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  <w:vertAlign w:val="superscript"/>
              </w:rPr>
              <w:t>nd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of December </w:t>
            </w:r>
            <w:r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2020,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10</w:t>
            </w:r>
            <w:r w:rsidR="002A61C1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: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00</w:t>
            </w:r>
            <w:r w:rsidR="002A61C1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am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</w:t>
            </w:r>
            <w:r w:rsidR="002A61C1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–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12</w:t>
            </w:r>
            <w:r w:rsidR="002A61C1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:00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</w:t>
            </w:r>
            <w:r w:rsidR="002A61C1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m</w:t>
            </w:r>
            <w:r w:rsidR="00D02C1A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</w:t>
            </w:r>
            <w:r w:rsidR="004F6309"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>GMT</w:t>
            </w:r>
          </w:p>
          <w:p w14:paraId="5F3088B3" w14:textId="5815B776" w:rsidR="00073476" w:rsidRPr="00E3717B" w:rsidRDefault="00073476" w:rsidP="004F6309">
            <w:pPr>
              <w:spacing w:beforeLines="1" w:before="2" w:afterLines="1" w:after="2" w:line="0" w:lineRule="atLeast"/>
              <w:outlineLvl w:val="0"/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Registration link: </w:t>
            </w:r>
            <w:hyperlink r:id="rId15" w:history="1">
              <w:r w:rsidRPr="009A2634">
                <w:rPr>
                  <w:rStyle w:val="Lienhypertexte"/>
                  <w:rFonts w:asciiTheme="majorHAnsi" w:hAnsiTheme="majorHAnsi" w:cstheme="majorHAnsi"/>
                  <w:b/>
                  <w:kern w:val="36"/>
                  <w:sz w:val="22"/>
                  <w:szCs w:val="22"/>
                </w:rPr>
                <w:t>https://us02web.zoom.us/webinar/register/WN_fba0AC0ARSeW5ECApsWlXQ</w:t>
              </w:r>
            </w:hyperlink>
            <w:r>
              <w:rPr>
                <w:rFonts w:asciiTheme="majorHAnsi" w:hAnsiTheme="majorHAnsi" w:cstheme="majorHAnsi"/>
                <w:b/>
                <w:kern w:val="36"/>
                <w:sz w:val="22"/>
                <w:szCs w:val="22"/>
              </w:rPr>
              <w:t xml:space="preserve"> </w:t>
            </w:r>
          </w:p>
        </w:tc>
      </w:tr>
      <w:tr w:rsidR="000A39F2" w:rsidRPr="00E3717B" w14:paraId="06A92F0F" w14:textId="77777777" w:rsidTr="0062374D"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</w:tcPr>
          <w:p w14:paraId="6E7582A8" w14:textId="6360B4DB" w:rsidR="006B484C" w:rsidRPr="006B484C" w:rsidRDefault="006B484C" w:rsidP="008B2AB8">
            <w:pPr>
              <w:spacing w:after="100" w:afterAutospacing="1" w:line="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Land insecurity is an issue</w:t>
            </w:r>
            <w:r w:rsidR="002A61C1"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everywhere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190548">
              <w:rPr>
                <w:rFonts w:asciiTheme="majorHAnsi" w:hAnsiTheme="majorHAnsi" w:cstheme="majorHAnsi"/>
                <w:sz w:val="22"/>
                <w:szCs w:val="22"/>
              </w:rPr>
              <w:t>Since the outbreak of the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90548">
              <w:rPr>
                <w:rFonts w:asciiTheme="majorHAnsi" w:hAnsiTheme="majorHAnsi" w:cstheme="majorHAnsi"/>
                <w:sz w:val="22"/>
                <w:szCs w:val="22"/>
              </w:rPr>
              <w:t>COVID-19</w:t>
            </w:r>
            <w:r w:rsidR="00B41AA2">
              <w:rPr>
                <w:rFonts w:asciiTheme="majorHAnsi" w:hAnsiTheme="majorHAnsi" w:cstheme="majorHAnsi"/>
                <w:sz w:val="22"/>
                <w:szCs w:val="22"/>
              </w:rPr>
              <w:t xml:space="preserve"> global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>pandemic</w:t>
            </w:r>
            <w:r w:rsidR="00B41AA2">
              <w:rPr>
                <w:rFonts w:asciiTheme="majorHAnsi" w:hAnsiTheme="majorHAnsi" w:cstheme="majorHAnsi"/>
                <w:sz w:val="22"/>
                <w:szCs w:val="22"/>
              </w:rPr>
              <w:t xml:space="preserve">, the situation </w:t>
            </w:r>
            <w:r w:rsidR="00190548">
              <w:rPr>
                <w:rFonts w:asciiTheme="majorHAnsi" w:hAnsiTheme="majorHAnsi" w:cstheme="majorHAnsi"/>
                <w:sz w:val="22"/>
                <w:szCs w:val="22"/>
              </w:rPr>
              <w:t xml:space="preserve">has likely </w:t>
            </w:r>
            <w:r w:rsidR="00780C26">
              <w:rPr>
                <w:rFonts w:asciiTheme="majorHAnsi" w:hAnsiTheme="majorHAnsi" w:cstheme="majorHAnsi"/>
                <w:sz w:val="22"/>
                <w:szCs w:val="22"/>
              </w:rPr>
              <w:t>deteriorated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. The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020 global comparative report of Prindex shows that rates of p</w:t>
            </w:r>
            <w:r w:rsidR="008B2AB8">
              <w:rPr>
                <w:rFonts w:asciiTheme="majorHAnsi" w:hAnsiTheme="majorHAnsi" w:cstheme="majorHAnsi"/>
                <w:sz w:val="22"/>
                <w:szCs w:val="22"/>
              </w:rPr>
              <w:t xml:space="preserve">erceived insecurity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 xml:space="preserve">vary from region to region around the world - </w:t>
            </w:r>
            <w:r w:rsidR="008B2AB8">
              <w:rPr>
                <w:rFonts w:asciiTheme="majorHAnsi" w:hAnsiTheme="majorHAnsi" w:cstheme="majorHAnsi"/>
                <w:sz w:val="22"/>
                <w:szCs w:val="22"/>
              </w:rPr>
              <w:t>the lowest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 xml:space="preserve">rates are 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in Europe and Central Asia (12%), North America (14%) and East Asia and the Pacific (15%)</w:t>
            </w:r>
            <w:r w:rsidR="00780C2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Latin America and Caribbean (21%)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0323D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>a little higher,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the Middle East and North Africa (28%)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 xml:space="preserve"> with the highest rates</w:t>
            </w:r>
            <w:r w:rsidR="008B2A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». 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>Withi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n sub-Saharan Africa</w:t>
            </w:r>
            <w:r w:rsidR="006A3B06">
              <w:rPr>
                <w:rFonts w:asciiTheme="majorHAnsi" w:hAnsiTheme="majorHAnsi" w:cstheme="majorHAnsi"/>
                <w:sz w:val="22"/>
                <w:szCs w:val="22"/>
              </w:rPr>
              <w:t>, with an average of 26 %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2A61C1">
              <w:rPr>
                <w:rFonts w:asciiTheme="majorHAnsi" w:hAnsiTheme="majorHAnsi" w:cstheme="majorHAnsi"/>
                <w:sz w:val="22"/>
                <w:szCs w:val="22"/>
              </w:rPr>
              <w:t>there is also a large range in insecurity rates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, Rwanda being one of the lowest levels of insecurity</w:t>
            </w:r>
            <w:r w:rsidR="008B2AB8">
              <w:rPr>
                <w:rFonts w:asciiTheme="majorHAnsi" w:hAnsiTheme="majorHAnsi" w:cstheme="majorHAnsi"/>
                <w:sz w:val="22"/>
                <w:szCs w:val="22"/>
              </w:rPr>
              <w:t xml:space="preserve"> worldwide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with 8% and Burkina Faso among the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highest</w:t>
            </w:r>
            <w:r w:rsidR="006265AA"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with 44%. </w:t>
            </w:r>
          </w:p>
          <w:p w14:paraId="4A6AA2D1" w14:textId="35B69A2D" w:rsidR="008B2AB8" w:rsidRDefault="006B484C" w:rsidP="002B63A1">
            <w:pPr>
              <w:spacing w:after="100" w:afterAutospacing="1" w:line="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This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diversity within</w:t>
            </w:r>
            <w:r w:rsidR="006265AA"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Africa can be explained by, among other reasons, the weakness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of the legal systems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the overlap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ping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or the superposition of statutory and customary tenure regimes,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inefficiencies</w:t>
            </w:r>
            <w:r w:rsidR="006265AA"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="006265AA"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the implementation of the legal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procedures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D5749D">
              <w:rPr>
                <w:rFonts w:asciiTheme="majorHAnsi" w:hAnsiTheme="majorHAnsi" w:cstheme="majorHAnsi"/>
                <w:sz w:val="22"/>
                <w:szCs w:val="22"/>
              </w:rPr>
              <w:t>poor land services delivery,</w:t>
            </w:r>
            <w:r w:rsidR="00E87F7A">
              <w:rPr>
                <w:rFonts w:asciiTheme="majorHAnsi" w:hAnsiTheme="majorHAnsi" w:cstheme="majorHAnsi"/>
                <w:sz w:val="22"/>
                <w:szCs w:val="22"/>
              </w:rPr>
              <w:t xml:space="preserve"> as well as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="00D5749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 xml:space="preserve">lack of 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>transparency and corruption issues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.  All of these issues are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exacerbated in</w:t>
            </w:r>
            <w:r w:rsidR="00D5749D">
              <w:rPr>
                <w:rFonts w:asciiTheme="majorHAnsi" w:hAnsiTheme="majorHAnsi" w:cstheme="majorHAnsi"/>
                <w:sz w:val="22"/>
                <w:szCs w:val="22"/>
              </w:rPr>
              <w:t xml:space="preserve"> a context of a massive rush on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 arable agricultural lands</w:t>
            </w:r>
            <w:r w:rsidR="00D5749D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 xml:space="preserve">an increase in </w:t>
            </w:r>
            <w:r w:rsidR="00D5749D">
              <w:rPr>
                <w:rFonts w:asciiTheme="majorHAnsi" w:hAnsiTheme="majorHAnsi" w:cstheme="majorHAnsi"/>
                <w:sz w:val="22"/>
                <w:szCs w:val="22"/>
              </w:rPr>
              <w:t>large scale land</w:t>
            </w:r>
            <w:r w:rsidR="008F780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5749D">
              <w:rPr>
                <w:rFonts w:asciiTheme="majorHAnsi" w:hAnsiTheme="majorHAnsi" w:cstheme="majorHAnsi"/>
                <w:sz w:val="22"/>
                <w:szCs w:val="22"/>
              </w:rPr>
              <w:t>based investments</w:t>
            </w:r>
            <w:r w:rsidRPr="006B484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8B2A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8A935BE" w14:textId="45D0ACB5" w:rsidR="00576854" w:rsidRDefault="002B63A1" w:rsidP="002B63A1">
            <w:pPr>
              <w:spacing w:line="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Global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and Alliance (GLA), the International Land Coalition Africa (ILC Africa) and the Initiative Prospective Agricole et Rurale (IPAR) will be organizing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 xml:space="preserve">an online regional event on measuring the land insecurity in Africa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on the 2</w:t>
            </w:r>
            <w:r w:rsidRPr="002B63A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 December 202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  </w:t>
            </w:r>
          </w:p>
          <w:p w14:paraId="7BE01EEA" w14:textId="77777777" w:rsidR="00576854" w:rsidRDefault="00576854" w:rsidP="00576854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040188" w14:textId="5A4F5DFD" w:rsidR="00EB0EDB" w:rsidRDefault="002B63A1" w:rsidP="008A2CAA">
            <w:pPr>
              <w:spacing w:line="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This </w:t>
            </w:r>
            <w:r w:rsidR="00474077">
              <w:rPr>
                <w:rFonts w:asciiTheme="majorHAnsi" w:hAnsiTheme="majorHAnsi" w:cstheme="majorHAnsi"/>
                <w:sz w:val="22"/>
                <w:szCs w:val="22"/>
              </w:rPr>
              <w:t xml:space="preserve">land and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>data-</w:t>
            </w:r>
            <w:r w:rsidR="00474077">
              <w:rPr>
                <w:rFonts w:asciiTheme="majorHAnsi" w:hAnsiTheme="majorHAnsi" w:cstheme="majorHAnsi"/>
                <w:sz w:val="22"/>
                <w:szCs w:val="22"/>
              </w:rPr>
              <w:t xml:space="preserve">focused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event will bring together </w:t>
            </w:r>
            <w:r w:rsidR="00AA762E">
              <w:rPr>
                <w:rFonts w:asciiTheme="majorHAnsi" w:hAnsiTheme="majorHAnsi" w:cstheme="majorHAnsi"/>
                <w:sz w:val="22"/>
                <w:szCs w:val="22"/>
              </w:rPr>
              <w:t>the land actors in the region</w:t>
            </w:r>
            <w:r w:rsidR="00474077">
              <w:rPr>
                <w:rFonts w:asciiTheme="majorHAnsi" w:hAnsiTheme="majorHAnsi" w:cstheme="majorHAnsi"/>
                <w:sz w:val="22"/>
                <w:szCs w:val="22"/>
              </w:rPr>
              <w:t xml:space="preserve">, decision makers at continental, regional and national levels, the National Statistical Offices, NGOs, academia, 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="00474077">
              <w:rPr>
                <w:rFonts w:asciiTheme="majorHAnsi" w:hAnsiTheme="majorHAnsi" w:cstheme="majorHAnsi"/>
                <w:sz w:val="22"/>
                <w:szCs w:val="22"/>
              </w:rPr>
              <w:t xml:space="preserve">land data </w:t>
            </w:r>
            <w:r w:rsidR="005D4C78">
              <w:rPr>
                <w:rFonts w:asciiTheme="majorHAnsi" w:hAnsiTheme="majorHAnsi" w:cstheme="majorHAnsi"/>
                <w:sz w:val="22"/>
                <w:szCs w:val="22"/>
              </w:rPr>
              <w:t>experts</w:t>
            </w:r>
            <w:r w:rsidR="006265AA">
              <w:rPr>
                <w:rFonts w:asciiTheme="majorHAnsi" w:hAnsiTheme="majorHAnsi" w:cstheme="majorHAnsi"/>
                <w:sz w:val="22"/>
                <w:szCs w:val="22"/>
              </w:rPr>
              <w:t xml:space="preserve"> for a rich discussion of how data on land insecurity can help improve decision-making</w:t>
            </w:r>
            <w:r w:rsidR="00AA762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02BB8465" w14:textId="77777777" w:rsidR="004233CE" w:rsidRDefault="004233CE" w:rsidP="00474077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54BB7C" w14:textId="0874810D" w:rsidR="004233CE" w:rsidRPr="00E3717B" w:rsidRDefault="006265AA" w:rsidP="008A2CAA">
            <w:pPr>
              <w:spacing w:line="0" w:lineRule="atLeas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 hope that d</w:t>
            </w:r>
            <w:r w:rsidR="004233CE" w:rsidRPr="004233CE">
              <w:rPr>
                <w:rFonts w:asciiTheme="majorHAnsi" w:hAnsiTheme="majorHAnsi" w:cstheme="majorHAnsi"/>
                <w:sz w:val="22"/>
                <w:szCs w:val="22"/>
              </w:rPr>
              <w:t xml:space="preserve">ifferent stakeholders will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bring their unique perspectives on the importance of land insecurity measures to the table to actively attempt to address issues with collecting and using </w:t>
            </w:r>
            <w:r w:rsidR="004233CE" w:rsidRPr="004233CE">
              <w:rPr>
                <w:rFonts w:asciiTheme="majorHAnsi" w:hAnsiTheme="majorHAnsi" w:cstheme="majorHAnsi"/>
                <w:sz w:val="22"/>
                <w:szCs w:val="22"/>
              </w:rPr>
              <w:t>land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-related</w:t>
            </w:r>
            <w:r w:rsidR="004233CE" w:rsidRPr="004233CE">
              <w:rPr>
                <w:rFonts w:asciiTheme="majorHAnsi" w:hAnsiTheme="majorHAnsi" w:cstheme="majorHAnsi"/>
                <w:sz w:val="22"/>
                <w:szCs w:val="22"/>
              </w:rPr>
              <w:t xml:space="preserve"> data: quality and quantity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 data</w:t>
            </w:r>
            <w:r w:rsidR="004233CE" w:rsidRPr="004233CE">
              <w:rPr>
                <w:rFonts w:asciiTheme="majorHAnsi" w:hAnsiTheme="majorHAnsi" w:cstheme="majorHAnsi"/>
                <w:sz w:val="22"/>
                <w:szCs w:val="22"/>
              </w:rPr>
              <w:t xml:space="preserve">, what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needs </w:t>
            </w:r>
            <w:r w:rsidR="004233CE" w:rsidRPr="004233CE">
              <w:rPr>
                <w:rFonts w:asciiTheme="majorHAnsi" w:hAnsiTheme="majorHAnsi" w:cstheme="majorHAnsi"/>
                <w:sz w:val="22"/>
                <w:szCs w:val="22"/>
              </w:rPr>
              <w:t xml:space="preserve">remain, what is being done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the field </w:t>
            </w:r>
            <w:r w:rsidR="004233CE" w:rsidRPr="004233CE">
              <w:rPr>
                <w:rFonts w:asciiTheme="majorHAnsi" w:hAnsiTheme="majorHAnsi" w:cstheme="majorHAnsi"/>
                <w:sz w:val="22"/>
                <w:szCs w:val="22"/>
              </w:rPr>
              <w:t>and how the evidence-based land policy approach can be more appropriated by all decision makers at all levels.</w:t>
            </w:r>
            <w:r w:rsidR="004233C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A39F2" w:rsidRPr="00E3717B" w14:paraId="1ABB3BA2" w14:textId="77777777" w:rsidTr="0062374D">
        <w:trPr>
          <w:trHeight w:val="1344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</w:tcPr>
          <w:p w14:paraId="766F6584" w14:textId="3BAD8F1B" w:rsidR="00411382" w:rsidRPr="00E3717B" w:rsidRDefault="000A39F2" w:rsidP="00E3717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E3717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AIMS</w:t>
            </w:r>
            <w:r w:rsidR="00E3717B" w:rsidRPr="00E3717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OF EVENT</w:t>
            </w:r>
          </w:p>
          <w:p w14:paraId="13773E25" w14:textId="58C208A1" w:rsidR="00006752" w:rsidRPr="00E3717B" w:rsidRDefault="00474077" w:rsidP="008A2CAA">
            <w:pPr>
              <w:numPr>
                <w:ilvl w:val="0"/>
                <w:numId w:val="1"/>
              </w:num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Present the key findings of the 2020 Prindex Sub-Saharan Africa comparative report (Prindex data on 36 countries</w:t>
            </w:r>
            <w:r w:rsidR="006265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 Sub-Saharan Africa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</w:t>
            </w:r>
          </w:p>
          <w:p w14:paraId="6C627452" w14:textId="1CD721B5" w:rsidR="0096139E" w:rsidRPr="00E3717B" w:rsidRDefault="0089347B" w:rsidP="008A2CAA">
            <w:pPr>
              <w:numPr>
                <w:ilvl w:val="0"/>
                <w:numId w:val="1"/>
              </w:num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96139E" w:rsidRPr="00E371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Bring land experts together with </w:t>
            </w:r>
            <w:r w:rsidR="004740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the continental </w:t>
            </w:r>
            <w:r w:rsidR="0096139E" w:rsidRPr="00E371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development community to discuss the state of </w:t>
            </w:r>
            <w:r w:rsidR="00D574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land security and </w:t>
            </w:r>
            <w:r w:rsidR="004740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property rights around the Sub-Saharan African</w:t>
            </w:r>
            <w:r w:rsidR="00006752" w:rsidRPr="00E371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740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region </w:t>
            </w:r>
            <w:r w:rsidR="00006752" w:rsidRPr="00E371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and how </w:t>
            </w:r>
            <w:r w:rsidR="00E371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they can be strengthened. </w:t>
            </w:r>
          </w:p>
          <w:p w14:paraId="3C1382BC" w14:textId="77777777" w:rsidR="000852D8" w:rsidRPr="000852D8" w:rsidRDefault="00474077" w:rsidP="000852D8">
            <w:pPr>
              <w:numPr>
                <w:ilvl w:val="0"/>
                <w:numId w:val="1"/>
              </w:num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Engage decision makers to adopt the evidence-based land policy approach and tools</w:t>
            </w:r>
            <w:r w:rsidR="006A3B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0852D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such as LANDex, VGGTs and SDGs </w:t>
            </w:r>
          </w:p>
          <w:p w14:paraId="4262A132" w14:textId="77777777" w:rsidR="00740354" w:rsidRPr="00BA3E0B" w:rsidRDefault="000852D8" w:rsidP="000852D8">
            <w:pPr>
              <w:numPr>
                <w:ilvl w:val="0"/>
                <w:numId w:val="1"/>
              </w:num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show</w:t>
            </w:r>
            <w:r w:rsidRPr="000852D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how different data are complementary and how all the data efforts align to push Africa toward making better progress—more transparency, inclusion and accountability-- on the land agenda</w:t>
            </w:r>
          </w:p>
          <w:p w14:paraId="5CCED54D" w14:textId="77777777" w:rsidR="00BA3E0B" w:rsidRDefault="00BA3E0B" w:rsidP="00BA3E0B">
            <w:p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C927C65" w14:textId="1A158E75" w:rsidR="00BA3E0B" w:rsidRPr="00E3717B" w:rsidRDefault="00BA3E0B" w:rsidP="00BA3E0B">
            <w:p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</w:pPr>
          </w:p>
        </w:tc>
      </w:tr>
      <w:tr w:rsidR="0096139E" w:rsidRPr="00E3717B" w14:paraId="1CF82AE4" w14:textId="77777777" w:rsidTr="005D4C78">
        <w:trPr>
          <w:trHeight w:val="425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</w:tcPr>
          <w:p w14:paraId="66063FD7" w14:textId="1F8D99E3" w:rsidR="00B71BCD" w:rsidRDefault="00576854" w:rsidP="00B71BC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3717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EVENT PARTICIPANTS</w:t>
            </w:r>
          </w:p>
          <w:p w14:paraId="451F52C7" w14:textId="78F31960" w:rsidR="00AC2D0D" w:rsidRPr="00D020A4" w:rsidRDefault="00424802" w:rsidP="00D020A4">
            <w:pPr>
              <w:pStyle w:val="Paragraphedeliste"/>
              <w:numPr>
                <w:ilvl w:val="0"/>
                <w:numId w:val="24"/>
              </w:numPr>
              <w:spacing w:beforeLines="1" w:before="2" w:afterLines="1" w:after="2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Guest of honour: </w:t>
            </w:r>
            <w:r w:rsidR="00474077" w:rsidRPr="00D020A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Janet EDEME,  Head of the Rural Economy Division of the AU Department of Rural Economy and Agriculture (AU DREA) to deliver opening </w:t>
            </w:r>
            <w:r w:rsidR="007533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remarks</w:t>
            </w:r>
            <w:r w:rsidR="00474077" w:rsidRPr="00D020A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- </w:t>
            </w:r>
            <w:r w:rsidR="00474077" w:rsidRPr="00D020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TBC</w:t>
            </w:r>
            <w:r w:rsidR="00474077" w:rsidRPr="00D020A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07B1BF83" w14:textId="294E01B1" w:rsidR="00EB6E0E" w:rsidRDefault="00424802" w:rsidP="00D020A4">
            <w:pPr>
              <w:pStyle w:val="Paragraphedeliste"/>
              <w:numPr>
                <w:ilvl w:val="0"/>
                <w:numId w:val="24"/>
              </w:numPr>
              <w:spacing w:beforeLines="1" w:before="2" w:afterLines="1" w:after="2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Moderator : </w:t>
            </w:r>
            <w:r w:rsidR="000852D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Dr Cheikh Oumar BA, Executive Director of IPAR</w:t>
            </w:r>
          </w:p>
          <w:p w14:paraId="174BC485" w14:textId="7705CAD3" w:rsidR="00AC2D0D" w:rsidRPr="00D020A4" w:rsidRDefault="00EB6E0E" w:rsidP="00D020A4">
            <w:pPr>
              <w:pStyle w:val="Paragraphedeliste"/>
              <w:numPr>
                <w:ilvl w:val="0"/>
                <w:numId w:val="24"/>
              </w:numPr>
              <w:spacing w:beforeLines="1" w:before="2" w:afterLines="1" w:after="2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D020A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Speakers: </w:t>
            </w:r>
          </w:p>
          <w:p w14:paraId="5B40DB33" w14:textId="54A02205" w:rsidR="00424802" w:rsidRPr="00C43CDB" w:rsidRDefault="00424802" w:rsidP="00424802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Ibrahima </w:t>
            </w:r>
            <w:r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KA</w:t>
            </w:r>
            <w:r w:rsidR="00C43CD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Africa Prindex regional coordinator, </w:t>
            </w: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C43CDB" w:rsidRPr="00C43CDB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key findings from the </w:t>
            </w:r>
            <w:r w:rsidR="003622B4" w:rsidRPr="00C43CDB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2020 Prindex </w:t>
            </w:r>
            <w:r w:rsidRPr="00C43CDB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regional </w:t>
            </w:r>
            <w:r w:rsidR="003622B4" w:rsidRPr="00C43CDB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comparative</w:t>
            </w:r>
            <w:r w:rsidR="00C43CDB" w:rsidRPr="00C43CDB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report (data from 34 countries) </w:t>
            </w:r>
            <w:r w:rsidRPr="00C43CDB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 </w:t>
            </w:r>
          </w:p>
          <w:p w14:paraId="3B96EBE0" w14:textId="38A6B663" w:rsidR="00835C0F" w:rsidRPr="00424802" w:rsidRDefault="00835C0F" w:rsidP="00835C0F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="003478F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Clement </w:t>
            </w:r>
            <w:r w:rsidR="003622B4"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ADJORL</w:t>
            </w:r>
            <w:r w:rsidR="003478F0"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OLO</w:t>
            </w:r>
            <w:r w:rsidR="003478F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AUDA-NEPAD, </w:t>
            </w:r>
            <w:r w:rsidRP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Data’s perspective at continental level </w:t>
            </w: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58453A5D" w14:textId="65E900C8" w:rsidR="00835C0F" w:rsidRPr="00424802" w:rsidRDefault="00835C0F" w:rsidP="00835C0F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Ward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ANSEEW</w:t>
            </w: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ILC, </w:t>
            </w:r>
            <w:r w:rsidRP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LANDex &amp; global land governance monitoring/ use of Prindex's methodology </w:t>
            </w:r>
          </w:p>
          <w:p w14:paraId="7303FA4F" w14:textId="4C911327" w:rsidR="00835C0F" w:rsidRPr="00424802" w:rsidRDefault="00835C0F" w:rsidP="00835C0F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Malcolm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CHILDRE</w:t>
            </w:r>
            <w:r w:rsidR="003478F0"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</w:t>
            </w:r>
            <w:r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536B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How </w:t>
            </w:r>
            <w:r w:rsidR="00536B27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Prindex contributes to </w:t>
            </w:r>
            <w:r w:rsidR="005D3BE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tracking SDGs &amp; VGGTs</w:t>
            </w:r>
            <w:r w:rsidRP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?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058FA6F0" w14:textId="2244DAA9" w:rsidR="00835C0F" w:rsidRPr="00835C0F" w:rsidRDefault="00835C0F" w:rsidP="00835C0F">
            <w:pPr>
              <w:pStyle w:val="Paragraphedeliste"/>
              <w:numPr>
                <w:ilvl w:val="0"/>
                <w:numId w:val="25"/>
              </w:numPr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35C0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Discussants </w:t>
            </w:r>
          </w:p>
          <w:p w14:paraId="62260785" w14:textId="6E71AB51" w:rsidR="00424802" w:rsidRPr="00424802" w:rsidRDefault="00424802" w:rsidP="00424802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Ruth </w:t>
            </w:r>
            <w:r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MINJA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3622B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Tanzania's NSO, </w:t>
            </w:r>
            <w:r w:rsidR="003622B4" w:rsidRP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Role of NSOs in </w:t>
            </w:r>
            <w:r w:rsid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collecting and using</w:t>
            </w:r>
            <w:r w:rsidR="003622B4" w:rsidRPr="0071428E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of land data at national level</w:t>
            </w:r>
            <w:r w:rsid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</w:p>
          <w:p w14:paraId="67FB6AE8" w14:textId="1D760D1C" w:rsidR="00424802" w:rsidRPr="00424802" w:rsidRDefault="00424802" w:rsidP="00424802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Pr </w:t>
            </w:r>
            <w:r w:rsidR="003622B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Taibat </w:t>
            </w:r>
            <w:r w:rsidR="003622B4"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LAWANSON</w:t>
            </w:r>
            <w:r w:rsidR="003622B4"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3622B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need of disaggregated data at local level (</w:t>
            </w: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Deep-dive in Nigeria</w:t>
            </w:r>
            <w:r w:rsidR="003622B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</w:t>
            </w:r>
          </w:p>
          <w:p w14:paraId="36846BA9" w14:textId="1D801146" w:rsidR="00424802" w:rsidRPr="00835C0F" w:rsidRDefault="00424802" w:rsidP="00835C0F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48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Esther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3622B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MUIRU</w:t>
            </w:r>
            <w:r w:rsidR="003622B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Global women land rights advocate at ILC, </w:t>
            </w:r>
            <w:r w:rsidR="003622B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</w:t>
            </w:r>
            <w:r w:rsidR="003622B4" w:rsidRPr="0071428E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erceptions on of women on their land security in case of divorce and death of the spouse in Africa</w:t>
            </w:r>
            <w:r w:rsidR="003478F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41C42625" w14:textId="768684C4" w:rsidR="000C3A93" w:rsidRPr="00D020A4" w:rsidRDefault="000C3A93" w:rsidP="00835C0F">
            <w:pPr>
              <w:pStyle w:val="Paragraphedeliste"/>
              <w:spacing w:beforeLines="1" w:before="2" w:afterLines="1" w:after="2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603BD" w:rsidRPr="00E3717B" w14:paraId="17652B02" w14:textId="77777777" w:rsidTr="0062374D">
        <w:trPr>
          <w:trHeight w:val="25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</w:tcPr>
          <w:p w14:paraId="213FA160" w14:textId="77777777" w:rsidR="007D3B5F" w:rsidRDefault="007D3B5F" w:rsidP="00B71B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5"/>
              <w:gridCol w:w="4705"/>
              <w:gridCol w:w="2652"/>
            </w:tblGrid>
            <w:tr w:rsidR="00076012" w:rsidRPr="00076012" w14:paraId="0B07CC08" w14:textId="77777777" w:rsidTr="00736B90">
              <w:trPr>
                <w:jc w:val="center"/>
              </w:trPr>
              <w:tc>
                <w:tcPr>
                  <w:tcW w:w="1705" w:type="dxa"/>
                  <w:shd w:val="clear" w:color="auto" w:fill="F2F2F2" w:themeFill="background1" w:themeFillShade="F2"/>
                </w:tcPr>
                <w:p w14:paraId="0371A282" w14:textId="77777777" w:rsidR="00076012" w:rsidRPr="00736B90" w:rsidRDefault="00076012" w:rsidP="00076012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736B9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705" w:type="dxa"/>
                  <w:shd w:val="clear" w:color="auto" w:fill="F2F2F2" w:themeFill="background1" w:themeFillShade="F2"/>
                </w:tcPr>
                <w:p w14:paraId="39740615" w14:textId="77777777" w:rsidR="00076012" w:rsidRPr="00736B90" w:rsidRDefault="00076012" w:rsidP="00076012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736B9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What</w:t>
                  </w:r>
                </w:p>
              </w:tc>
              <w:tc>
                <w:tcPr>
                  <w:tcW w:w="2652" w:type="dxa"/>
                  <w:shd w:val="clear" w:color="auto" w:fill="F2F2F2" w:themeFill="background1" w:themeFillShade="F2"/>
                </w:tcPr>
                <w:p w14:paraId="331A1797" w14:textId="77777777" w:rsidR="00076012" w:rsidRPr="00736B90" w:rsidRDefault="00076012" w:rsidP="00076012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736B9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Who</w:t>
                  </w:r>
                </w:p>
              </w:tc>
            </w:tr>
            <w:tr w:rsidR="00076012" w:rsidRPr="00076012" w14:paraId="30E7DC6B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452B1005" w14:textId="77777777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10:00-10:10</w:t>
                  </w:r>
                </w:p>
              </w:tc>
              <w:tc>
                <w:tcPr>
                  <w:tcW w:w="4705" w:type="dxa"/>
                </w:tcPr>
                <w:p w14:paraId="201263BD" w14:textId="77777777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Welcome, explain webinar setup, how Q&amp;A works, etc.</w:t>
                  </w:r>
                </w:p>
              </w:tc>
              <w:tc>
                <w:tcPr>
                  <w:tcW w:w="2652" w:type="dxa"/>
                </w:tcPr>
                <w:p w14:paraId="7C890DEB" w14:textId="6ECC0CD4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Moderator</w:t>
                  </w:r>
                  <w:r w:rsidR="00B50AFD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736B90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6012" w:rsidRPr="00076012" w14:paraId="12F12DEF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49FFCC03" w14:textId="77777777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10:10-10:15</w:t>
                  </w:r>
                </w:p>
              </w:tc>
              <w:tc>
                <w:tcPr>
                  <w:tcW w:w="4705" w:type="dxa"/>
                </w:tcPr>
                <w:p w14:paraId="75427271" w14:textId="7CA6CE0A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Framing and Intro to </w:t>
                  </w:r>
                  <w:r w:rsidR="00D51ED6"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panellists</w:t>
                  </w: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652" w:type="dxa"/>
                </w:tcPr>
                <w:p w14:paraId="112D53B6" w14:textId="3238C61A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Moderator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  <w:tr w:rsidR="00076012" w:rsidRPr="00076012" w14:paraId="5622D279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497BE1DF" w14:textId="77777777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10:15-10:30</w:t>
                  </w:r>
                </w:p>
              </w:tc>
              <w:tc>
                <w:tcPr>
                  <w:tcW w:w="4705" w:type="dxa"/>
                </w:tcPr>
                <w:p w14:paraId="3094FCC2" w14:textId="77777777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Intro to Prindex</w:t>
                  </w:r>
                </w:p>
              </w:tc>
              <w:tc>
                <w:tcPr>
                  <w:tcW w:w="2652" w:type="dxa"/>
                </w:tcPr>
                <w:p w14:paraId="5EB162A9" w14:textId="4DE0C4A3" w:rsidR="00076012" w:rsidRPr="00076012" w:rsidRDefault="0007601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Ibrahima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C43CD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KA, </w:t>
                  </w:r>
                  <w:r w:rsidR="003478F0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ILC/IPAR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   </w:t>
                  </w:r>
                </w:p>
              </w:tc>
            </w:tr>
            <w:tr w:rsidR="00076012" w:rsidRPr="00076012" w14:paraId="78A04C07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10F14713" w14:textId="7139A7FB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10:30-10:45</w:t>
                  </w:r>
                </w:p>
              </w:tc>
              <w:tc>
                <w:tcPr>
                  <w:tcW w:w="4705" w:type="dxa"/>
                </w:tcPr>
                <w:p w14:paraId="13405296" w14:textId="2A39D837" w:rsidR="00076012" w:rsidRPr="00076012" w:rsidRDefault="00D51ED6" w:rsidP="00F112CB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Panellist</w:t>
                  </w:r>
                  <w:r w:rsidR="0042480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#1 Data perspective at continental level</w:t>
                  </w:r>
                </w:p>
              </w:tc>
              <w:tc>
                <w:tcPr>
                  <w:tcW w:w="2652" w:type="dxa"/>
                </w:tcPr>
                <w:p w14:paraId="25ACFE30" w14:textId="2F0B4B20" w:rsidR="00076012" w:rsidRPr="00076012" w:rsidRDefault="003478F0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Clement </w:t>
                  </w:r>
                  <w:r w:rsidR="00536B27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ADORLOLO</w:t>
                  </w: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, AUDA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NEPAD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       </w:t>
                  </w:r>
                </w:p>
              </w:tc>
            </w:tr>
            <w:tr w:rsidR="00076012" w:rsidRPr="00076012" w14:paraId="404F56D5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3891AB85" w14:textId="0016AFE8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10:45-11:00</w:t>
                  </w:r>
                </w:p>
              </w:tc>
              <w:tc>
                <w:tcPr>
                  <w:tcW w:w="4705" w:type="dxa"/>
                </w:tcPr>
                <w:p w14:paraId="476DD446" w14:textId="54E1BFFD" w:rsidR="00076012" w:rsidRPr="00076012" w:rsidRDefault="00D51ED6" w:rsidP="00F112CB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Panellist</w:t>
                  </w:r>
                  <w:r w:rsidR="0042480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#2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Landex &amp; use of Prindex’s methodology and data </w:t>
                  </w:r>
                  <w:r w:rsidR="003622B4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2" w:type="dxa"/>
                </w:tcPr>
                <w:p w14:paraId="5B755BCB" w14:textId="125BDD28" w:rsidR="00076012" w:rsidRPr="00076012" w:rsidRDefault="003478F0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Ward ANSEEW, ILC 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B50AFD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6012" w:rsidRPr="00076012" w14:paraId="40B9F43B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3EC30C49" w14:textId="7C9C42A8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11:00-11:15</w:t>
                  </w:r>
                </w:p>
              </w:tc>
              <w:tc>
                <w:tcPr>
                  <w:tcW w:w="4705" w:type="dxa"/>
                </w:tcPr>
                <w:p w14:paraId="5BBB1D5E" w14:textId="59DC32DF" w:rsidR="00076012" w:rsidRPr="00076012" w:rsidRDefault="00D51ED6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07601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Panellist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#3 </w:t>
                  </w:r>
                  <w:r w:rsidR="00F112CB" w:rsidRPr="0042480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how Prindex contributes to SDGs &amp; VGGTs tracking</w:t>
                  </w:r>
                  <w:r w:rsidR="00B50AFD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? </w:t>
                  </w:r>
                </w:p>
              </w:tc>
              <w:tc>
                <w:tcPr>
                  <w:tcW w:w="2652" w:type="dxa"/>
                </w:tcPr>
                <w:p w14:paraId="3462789D" w14:textId="785B1733" w:rsidR="00076012" w:rsidRPr="00076012" w:rsidRDefault="003478F0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Malcolm CHILDRES, GLA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B50AFD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6012" w:rsidRPr="00076012" w14:paraId="3C5674B2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38DB4311" w14:textId="1F5E8C7F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11:15-11:25</w:t>
                  </w:r>
                </w:p>
              </w:tc>
              <w:tc>
                <w:tcPr>
                  <w:tcW w:w="4705" w:type="dxa"/>
                </w:tcPr>
                <w:p w14:paraId="4EA8AF87" w14:textId="373AA641" w:rsidR="00076012" w:rsidRPr="00076012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Q&amp;R -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Discussant #1</w:t>
                  </w:r>
                  <w:r w:rsidR="00195D9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Role of the NSOs </w:t>
                  </w:r>
                </w:p>
              </w:tc>
              <w:tc>
                <w:tcPr>
                  <w:tcW w:w="2652" w:type="dxa"/>
                </w:tcPr>
                <w:p w14:paraId="3862AB68" w14:textId="5FA35DF0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Ruth MINJA</w:t>
                  </w:r>
                  <w:r w:rsidR="003478F0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, NSO Tanzania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076012" w:rsidRPr="00076012" w14:paraId="4C5DA1D5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5BC7A82E" w14:textId="4E95A174" w:rsidR="00076012" w:rsidRPr="00076012" w:rsidRDefault="00424802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11:20-11:30</w:t>
                  </w:r>
                </w:p>
              </w:tc>
              <w:tc>
                <w:tcPr>
                  <w:tcW w:w="4705" w:type="dxa"/>
                </w:tcPr>
                <w:p w14:paraId="158BCC8C" w14:textId="4C3E3404" w:rsidR="00076012" w:rsidRPr="00076012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Q&amp; R - </w:t>
                  </w:r>
                  <w:r w:rsidR="00195D9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Discussant #2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Data &amp; WLR advocacy</w:t>
                  </w:r>
                </w:p>
              </w:tc>
              <w:tc>
                <w:tcPr>
                  <w:tcW w:w="2652" w:type="dxa"/>
                </w:tcPr>
                <w:p w14:paraId="2F32D68D" w14:textId="2B5C1261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Esther MUIRI</w:t>
                  </w:r>
                  <w:r w:rsidR="003478F0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, ILC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</w:t>
                  </w:r>
                </w:p>
              </w:tc>
            </w:tr>
            <w:tr w:rsidR="00076012" w:rsidRPr="00076012" w14:paraId="5189085F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3F165493" w14:textId="5AE5CF12" w:rsidR="00076012" w:rsidRPr="00076012" w:rsidRDefault="00F112CB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11:30-11:</w:t>
                  </w:r>
                  <w:r w:rsidR="00B50AFD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705" w:type="dxa"/>
                </w:tcPr>
                <w:p w14:paraId="56B77054" w14:textId="0469FCDC" w:rsidR="00076012" w:rsidRPr="00076012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Q&amp;R - </w:t>
                  </w:r>
                  <w:r w:rsidR="00195D9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Discussant # 3 </w:t>
                  </w:r>
                  <w:r w:rsidR="00F112CB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Deep dive </w:t>
                  </w:r>
                </w:p>
              </w:tc>
              <w:tc>
                <w:tcPr>
                  <w:tcW w:w="2652" w:type="dxa"/>
                </w:tcPr>
                <w:p w14:paraId="565D3A0E" w14:textId="54FEDCD4" w:rsidR="00076012" w:rsidRPr="00076012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P</w:t>
                  </w:r>
                  <w:r w:rsidR="003478F0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r TAIBAT, Nigeria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</w:tr>
            <w:tr w:rsidR="00B50AFD" w:rsidRPr="00076012" w14:paraId="1CC20927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68A421E0" w14:textId="48A4930E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11:40-11:45 </w:t>
                  </w:r>
                </w:p>
              </w:tc>
              <w:tc>
                <w:tcPr>
                  <w:tcW w:w="4705" w:type="dxa"/>
                </w:tcPr>
                <w:p w14:paraId="7BB46F1B" w14:textId="5BC4C7BD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Q&amp;R – 1 or 2 Q from audience</w:t>
                  </w:r>
                </w:p>
              </w:tc>
              <w:tc>
                <w:tcPr>
                  <w:tcW w:w="2652" w:type="dxa"/>
                </w:tcPr>
                <w:p w14:paraId="54174BC1" w14:textId="3FF9CB04" w:rsidR="00B50AFD" w:rsidRDefault="007E1763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Moderator                </w:t>
                  </w:r>
                </w:p>
              </w:tc>
            </w:tr>
            <w:tr w:rsidR="00B50AFD" w:rsidRPr="00076012" w14:paraId="73021EA7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7EEAB097" w14:textId="20C0EC88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11:45 – 11:55</w:t>
                  </w:r>
                </w:p>
              </w:tc>
              <w:tc>
                <w:tcPr>
                  <w:tcW w:w="4705" w:type="dxa"/>
                </w:tcPr>
                <w:p w14:paraId="0C85A00C" w14:textId="41173245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Responses &amp; last words from panelists</w:t>
                  </w:r>
                </w:p>
              </w:tc>
              <w:tc>
                <w:tcPr>
                  <w:tcW w:w="2652" w:type="dxa"/>
                </w:tcPr>
                <w:p w14:paraId="7D59A454" w14:textId="76221527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Moderator</w:t>
                  </w:r>
                  <w:r w:rsidR="00195D9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50AFD" w:rsidRPr="00076012" w14:paraId="14B04D72" w14:textId="77777777" w:rsidTr="00736B90">
              <w:trPr>
                <w:jc w:val="center"/>
              </w:trPr>
              <w:tc>
                <w:tcPr>
                  <w:tcW w:w="1705" w:type="dxa"/>
                </w:tcPr>
                <w:p w14:paraId="66E147E5" w14:textId="16C8706E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11:55 – 12:00</w:t>
                  </w:r>
                </w:p>
              </w:tc>
              <w:tc>
                <w:tcPr>
                  <w:tcW w:w="4705" w:type="dxa"/>
                </w:tcPr>
                <w:p w14:paraId="6B900E9B" w14:textId="39232D74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Closing remarks</w:t>
                  </w:r>
                </w:p>
              </w:tc>
              <w:tc>
                <w:tcPr>
                  <w:tcW w:w="2652" w:type="dxa"/>
                </w:tcPr>
                <w:p w14:paraId="108D382A" w14:textId="52162588" w:rsidR="00B50AFD" w:rsidRDefault="00B50AFD" w:rsidP="00076012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Moderator </w:t>
                  </w:r>
                  <w:r w:rsidR="007E176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195D93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4944699" w14:textId="3CC0E58F" w:rsidR="006603BD" w:rsidRPr="00076012" w:rsidRDefault="00DF3AC7" w:rsidP="00B71BCD"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EC2B34" w14:textId="260240D5" w:rsidR="008406C9" w:rsidRDefault="008406C9" w:rsidP="00587728">
      <w:pPr>
        <w:rPr>
          <w:rFonts w:asciiTheme="majorHAnsi" w:hAnsiTheme="majorHAnsi" w:cstheme="majorHAnsi"/>
          <w:sz w:val="22"/>
          <w:szCs w:val="22"/>
        </w:rPr>
      </w:pPr>
    </w:p>
    <w:p w14:paraId="3F7DFE40" w14:textId="77777777" w:rsidR="00D073F6" w:rsidRPr="00E3717B" w:rsidRDefault="00D073F6" w:rsidP="00587728">
      <w:pPr>
        <w:rPr>
          <w:rFonts w:asciiTheme="majorHAnsi" w:hAnsiTheme="majorHAnsi" w:cstheme="majorHAnsi"/>
          <w:sz w:val="22"/>
          <w:szCs w:val="22"/>
        </w:rPr>
      </w:pPr>
    </w:p>
    <w:sectPr w:rsidR="00D073F6" w:rsidRPr="00E3717B" w:rsidSect="003958C4">
      <w:pgSz w:w="11900" w:h="16840"/>
      <w:pgMar w:top="1134" w:right="1361" w:bottom="1134" w:left="136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1225" w16cex:dateUtc="2020-10-15T16:23:00Z"/>
  <w16cex:commentExtensible w16cex:durableId="233312FA" w16cex:dateUtc="2020-10-15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683F" w14:textId="77777777" w:rsidR="00860026" w:rsidRDefault="00860026" w:rsidP="003932F4">
      <w:r>
        <w:separator/>
      </w:r>
    </w:p>
  </w:endnote>
  <w:endnote w:type="continuationSeparator" w:id="0">
    <w:p w14:paraId="66296AF2" w14:textId="77777777" w:rsidR="00860026" w:rsidRDefault="00860026" w:rsidP="0039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72EB" w14:textId="77777777" w:rsidR="00860026" w:rsidRDefault="00860026" w:rsidP="003932F4">
      <w:r>
        <w:separator/>
      </w:r>
    </w:p>
  </w:footnote>
  <w:footnote w:type="continuationSeparator" w:id="0">
    <w:p w14:paraId="1CCA8AB0" w14:textId="77777777" w:rsidR="00860026" w:rsidRDefault="00860026" w:rsidP="0039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D1E"/>
    <w:multiLevelType w:val="hybridMultilevel"/>
    <w:tmpl w:val="88A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65D"/>
    <w:multiLevelType w:val="hybridMultilevel"/>
    <w:tmpl w:val="B920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6F4B"/>
    <w:multiLevelType w:val="multilevel"/>
    <w:tmpl w:val="D78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36908"/>
    <w:multiLevelType w:val="multilevel"/>
    <w:tmpl w:val="327A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C31FC"/>
    <w:multiLevelType w:val="hybridMultilevel"/>
    <w:tmpl w:val="9C8A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DC3"/>
    <w:multiLevelType w:val="hybridMultilevel"/>
    <w:tmpl w:val="F1E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FED"/>
    <w:multiLevelType w:val="hybridMultilevel"/>
    <w:tmpl w:val="E218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76CF"/>
    <w:multiLevelType w:val="multilevel"/>
    <w:tmpl w:val="48F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D0F69"/>
    <w:multiLevelType w:val="hybridMultilevel"/>
    <w:tmpl w:val="A8BE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6910"/>
    <w:multiLevelType w:val="hybridMultilevel"/>
    <w:tmpl w:val="AF20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D9E"/>
    <w:multiLevelType w:val="hybridMultilevel"/>
    <w:tmpl w:val="2838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0B7A"/>
    <w:multiLevelType w:val="hybridMultilevel"/>
    <w:tmpl w:val="16C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256C"/>
    <w:multiLevelType w:val="hybridMultilevel"/>
    <w:tmpl w:val="9FDC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564B2"/>
    <w:multiLevelType w:val="hybridMultilevel"/>
    <w:tmpl w:val="9996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37D8"/>
    <w:multiLevelType w:val="hybridMultilevel"/>
    <w:tmpl w:val="4ABE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98A"/>
    <w:multiLevelType w:val="hybridMultilevel"/>
    <w:tmpl w:val="1F3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4242E"/>
    <w:multiLevelType w:val="hybridMultilevel"/>
    <w:tmpl w:val="742AE4CA"/>
    <w:lvl w:ilvl="0" w:tplc="CFA46EF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3FDB"/>
    <w:multiLevelType w:val="hybridMultilevel"/>
    <w:tmpl w:val="D8E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2D68"/>
    <w:multiLevelType w:val="hybridMultilevel"/>
    <w:tmpl w:val="3C1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35FA8"/>
    <w:multiLevelType w:val="hybridMultilevel"/>
    <w:tmpl w:val="07C2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02048"/>
    <w:multiLevelType w:val="hybridMultilevel"/>
    <w:tmpl w:val="3116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1B23"/>
    <w:multiLevelType w:val="hybridMultilevel"/>
    <w:tmpl w:val="A484E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0609D"/>
    <w:multiLevelType w:val="hybridMultilevel"/>
    <w:tmpl w:val="B274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34B9"/>
    <w:multiLevelType w:val="hybridMultilevel"/>
    <w:tmpl w:val="A09A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A1687"/>
    <w:multiLevelType w:val="hybridMultilevel"/>
    <w:tmpl w:val="FD70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8"/>
  </w:num>
  <w:num w:numId="6">
    <w:abstractNumId w:val="14"/>
  </w:num>
  <w:num w:numId="7">
    <w:abstractNumId w:val="20"/>
  </w:num>
  <w:num w:numId="8">
    <w:abstractNumId w:val="10"/>
  </w:num>
  <w:num w:numId="9">
    <w:abstractNumId w:val="8"/>
  </w:num>
  <w:num w:numId="10">
    <w:abstractNumId w:val="22"/>
  </w:num>
  <w:num w:numId="11">
    <w:abstractNumId w:val="24"/>
  </w:num>
  <w:num w:numId="12">
    <w:abstractNumId w:val="19"/>
  </w:num>
  <w:num w:numId="13">
    <w:abstractNumId w:val="15"/>
  </w:num>
  <w:num w:numId="14">
    <w:abstractNumId w:val="13"/>
  </w:num>
  <w:num w:numId="15">
    <w:abstractNumId w:val="23"/>
  </w:num>
  <w:num w:numId="16">
    <w:abstractNumId w:val="12"/>
  </w:num>
  <w:num w:numId="17">
    <w:abstractNumId w:val="6"/>
  </w:num>
  <w:num w:numId="18">
    <w:abstractNumId w:val="9"/>
  </w:num>
  <w:num w:numId="19">
    <w:abstractNumId w:val="0"/>
  </w:num>
  <w:num w:numId="20">
    <w:abstractNumId w:val="5"/>
  </w:num>
  <w:num w:numId="21">
    <w:abstractNumId w:val="17"/>
  </w:num>
  <w:num w:numId="22">
    <w:abstractNumId w:val="11"/>
  </w:num>
  <w:num w:numId="23">
    <w:abstractNumId w:val="16"/>
  </w:num>
  <w:num w:numId="24">
    <w:abstractNumId w:val="1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389C8E-446E-4D6F-979D-99723CEC4122}"/>
    <w:docVar w:name="dgnword-eventsink" w:val="565590384"/>
  </w:docVars>
  <w:rsids>
    <w:rsidRoot w:val="000A39F2"/>
    <w:rsid w:val="00002648"/>
    <w:rsid w:val="00006752"/>
    <w:rsid w:val="00013D42"/>
    <w:rsid w:val="00023DBA"/>
    <w:rsid w:val="00023F98"/>
    <w:rsid w:val="000249B6"/>
    <w:rsid w:val="00025970"/>
    <w:rsid w:val="00032E34"/>
    <w:rsid w:val="00044D29"/>
    <w:rsid w:val="0005164A"/>
    <w:rsid w:val="00056F62"/>
    <w:rsid w:val="00073476"/>
    <w:rsid w:val="00076012"/>
    <w:rsid w:val="0008019A"/>
    <w:rsid w:val="00080DAC"/>
    <w:rsid w:val="000852D8"/>
    <w:rsid w:val="000854BE"/>
    <w:rsid w:val="000A39F2"/>
    <w:rsid w:val="000B5815"/>
    <w:rsid w:val="000B607F"/>
    <w:rsid w:val="000C0CEA"/>
    <w:rsid w:val="000C3A93"/>
    <w:rsid w:val="000D2188"/>
    <w:rsid w:val="000D26BB"/>
    <w:rsid w:val="000D3EC3"/>
    <w:rsid w:val="000D4058"/>
    <w:rsid w:val="000D4778"/>
    <w:rsid w:val="000E52C6"/>
    <w:rsid w:val="000E54B1"/>
    <w:rsid w:val="000F7DFA"/>
    <w:rsid w:val="00104347"/>
    <w:rsid w:val="001071E9"/>
    <w:rsid w:val="00111E85"/>
    <w:rsid w:val="00120FA5"/>
    <w:rsid w:val="00123712"/>
    <w:rsid w:val="00124C2F"/>
    <w:rsid w:val="001305E9"/>
    <w:rsid w:val="00130BAA"/>
    <w:rsid w:val="00130BC8"/>
    <w:rsid w:val="00142AAC"/>
    <w:rsid w:val="001441BC"/>
    <w:rsid w:val="00152F3E"/>
    <w:rsid w:val="0015384F"/>
    <w:rsid w:val="00153BD0"/>
    <w:rsid w:val="00162A4B"/>
    <w:rsid w:val="00166CD4"/>
    <w:rsid w:val="0017272F"/>
    <w:rsid w:val="00172BDF"/>
    <w:rsid w:val="00190548"/>
    <w:rsid w:val="00195D93"/>
    <w:rsid w:val="00196B0A"/>
    <w:rsid w:val="001A0EAF"/>
    <w:rsid w:val="001A2FBD"/>
    <w:rsid w:val="001A3AD7"/>
    <w:rsid w:val="001A45E7"/>
    <w:rsid w:val="001A4BF9"/>
    <w:rsid w:val="001B2112"/>
    <w:rsid w:val="001C3A81"/>
    <w:rsid w:val="001C51C7"/>
    <w:rsid w:val="001C7A3E"/>
    <w:rsid w:val="001D2F68"/>
    <w:rsid w:val="001E24D4"/>
    <w:rsid w:val="00204F6D"/>
    <w:rsid w:val="0021313F"/>
    <w:rsid w:val="00216123"/>
    <w:rsid w:val="002202D0"/>
    <w:rsid w:val="00227824"/>
    <w:rsid w:val="00234EE2"/>
    <w:rsid w:val="0023592B"/>
    <w:rsid w:val="0024658A"/>
    <w:rsid w:val="00246966"/>
    <w:rsid w:val="00247F1D"/>
    <w:rsid w:val="00271184"/>
    <w:rsid w:val="00272828"/>
    <w:rsid w:val="00272AF9"/>
    <w:rsid w:val="00276A36"/>
    <w:rsid w:val="00277003"/>
    <w:rsid w:val="00282A21"/>
    <w:rsid w:val="00294578"/>
    <w:rsid w:val="00296837"/>
    <w:rsid w:val="00296D39"/>
    <w:rsid w:val="002A61C1"/>
    <w:rsid w:val="002A75B5"/>
    <w:rsid w:val="002B127C"/>
    <w:rsid w:val="002B1362"/>
    <w:rsid w:val="002B6213"/>
    <w:rsid w:val="002B63A1"/>
    <w:rsid w:val="002C245E"/>
    <w:rsid w:val="002C5C3E"/>
    <w:rsid w:val="002D2C21"/>
    <w:rsid w:val="002D6D12"/>
    <w:rsid w:val="002E135C"/>
    <w:rsid w:val="002E19D1"/>
    <w:rsid w:val="002E279B"/>
    <w:rsid w:val="002F0E02"/>
    <w:rsid w:val="002F3AD1"/>
    <w:rsid w:val="002F3C66"/>
    <w:rsid w:val="002F5B67"/>
    <w:rsid w:val="00302CFE"/>
    <w:rsid w:val="00303EFB"/>
    <w:rsid w:val="00315975"/>
    <w:rsid w:val="00323E7D"/>
    <w:rsid w:val="00324AF5"/>
    <w:rsid w:val="00326D94"/>
    <w:rsid w:val="00327AC0"/>
    <w:rsid w:val="003304C0"/>
    <w:rsid w:val="003478F0"/>
    <w:rsid w:val="00351490"/>
    <w:rsid w:val="00351A59"/>
    <w:rsid w:val="00351C95"/>
    <w:rsid w:val="003528C1"/>
    <w:rsid w:val="003546BB"/>
    <w:rsid w:val="00355CCE"/>
    <w:rsid w:val="003622B4"/>
    <w:rsid w:val="00365EF8"/>
    <w:rsid w:val="003671FD"/>
    <w:rsid w:val="00371007"/>
    <w:rsid w:val="00372510"/>
    <w:rsid w:val="00376C9D"/>
    <w:rsid w:val="00391D2D"/>
    <w:rsid w:val="00392BB6"/>
    <w:rsid w:val="003932F4"/>
    <w:rsid w:val="00394945"/>
    <w:rsid w:val="0039563F"/>
    <w:rsid w:val="003958C4"/>
    <w:rsid w:val="003A50F2"/>
    <w:rsid w:val="003A781C"/>
    <w:rsid w:val="003C0C0F"/>
    <w:rsid w:val="003C33AA"/>
    <w:rsid w:val="003C4E74"/>
    <w:rsid w:val="003C5DEB"/>
    <w:rsid w:val="003E208A"/>
    <w:rsid w:val="003E4E03"/>
    <w:rsid w:val="003E617B"/>
    <w:rsid w:val="00402176"/>
    <w:rsid w:val="00411382"/>
    <w:rsid w:val="004137A5"/>
    <w:rsid w:val="004233CE"/>
    <w:rsid w:val="004238A4"/>
    <w:rsid w:val="00424802"/>
    <w:rsid w:val="0043516F"/>
    <w:rsid w:val="004428E8"/>
    <w:rsid w:val="0044321D"/>
    <w:rsid w:val="00444961"/>
    <w:rsid w:val="00444B72"/>
    <w:rsid w:val="004456FC"/>
    <w:rsid w:val="004477E1"/>
    <w:rsid w:val="004550DC"/>
    <w:rsid w:val="00455879"/>
    <w:rsid w:val="00455F40"/>
    <w:rsid w:val="00457880"/>
    <w:rsid w:val="00462E86"/>
    <w:rsid w:val="00470552"/>
    <w:rsid w:val="00474077"/>
    <w:rsid w:val="00496669"/>
    <w:rsid w:val="004B1BE2"/>
    <w:rsid w:val="004B4C64"/>
    <w:rsid w:val="004D56D7"/>
    <w:rsid w:val="004E0920"/>
    <w:rsid w:val="004E52E4"/>
    <w:rsid w:val="004E7ABA"/>
    <w:rsid w:val="004F14DC"/>
    <w:rsid w:val="004F2500"/>
    <w:rsid w:val="004F31DF"/>
    <w:rsid w:val="004F5127"/>
    <w:rsid w:val="004F6309"/>
    <w:rsid w:val="004F6C61"/>
    <w:rsid w:val="00507749"/>
    <w:rsid w:val="005107AF"/>
    <w:rsid w:val="005249A7"/>
    <w:rsid w:val="00524A9F"/>
    <w:rsid w:val="00526D77"/>
    <w:rsid w:val="00532F0C"/>
    <w:rsid w:val="00536B27"/>
    <w:rsid w:val="00544461"/>
    <w:rsid w:val="00556197"/>
    <w:rsid w:val="00557DB4"/>
    <w:rsid w:val="00561C0E"/>
    <w:rsid w:val="00564499"/>
    <w:rsid w:val="00573B67"/>
    <w:rsid w:val="00576854"/>
    <w:rsid w:val="00587728"/>
    <w:rsid w:val="00593DFF"/>
    <w:rsid w:val="005A4E5F"/>
    <w:rsid w:val="005A54F1"/>
    <w:rsid w:val="005D34C7"/>
    <w:rsid w:val="005D3BE4"/>
    <w:rsid w:val="005D4C78"/>
    <w:rsid w:val="005E325E"/>
    <w:rsid w:val="005E7173"/>
    <w:rsid w:val="005F0C16"/>
    <w:rsid w:val="005F245B"/>
    <w:rsid w:val="00601C38"/>
    <w:rsid w:val="00606E9D"/>
    <w:rsid w:val="00617CF3"/>
    <w:rsid w:val="006215B4"/>
    <w:rsid w:val="0062374D"/>
    <w:rsid w:val="00624204"/>
    <w:rsid w:val="006265AA"/>
    <w:rsid w:val="006367D8"/>
    <w:rsid w:val="006603BD"/>
    <w:rsid w:val="00662847"/>
    <w:rsid w:val="00664405"/>
    <w:rsid w:val="006755E3"/>
    <w:rsid w:val="00675B1D"/>
    <w:rsid w:val="006813A2"/>
    <w:rsid w:val="00681505"/>
    <w:rsid w:val="00693854"/>
    <w:rsid w:val="00697F0E"/>
    <w:rsid w:val="006A3B06"/>
    <w:rsid w:val="006A3FDE"/>
    <w:rsid w:val="006A730F"/>
    <w:rsid w:val="006B0D50"/>
    <w:rsid w:val="006B19B3"/>
    <w:rsid w:val="006B40BB"/>
    <w:rsid w:val="006B484C"/>
    <w:rsid w:val="006C213E"/>
    <w:rsid w:val="006D061E"/>
    <w:rsid w:val="006D3BB7"/>
    <w:rsid w:val="006E4CD2"/>
    <w:rsid w:val="006E50A3"/>
    <w:rsid w:val="0070392B"/>
    <w:rsid w:val="00713340"/>
    <w:rsid w:val="0071428E"/>
    <w:rsid w:val="007170C3"/>
    <w:rsid w:val="00721C1C"/>
    <w:rsid w:val="00722281"/>
    <w:rsid w:val="00726B4D"/>
    <w:rsid w:val="0073394B"/>
    <w:rsid w:val="00736B90"/>
    <w:rsid w:val="00740354"/>
    <w:rsid w:val="00741484"/>
    <w:rsid w:val="007421DA"/>
    <w:rsid w:val="0075099F"/>
    <w:rsid w:val="0075331F"/>
    <w:rsid w:val="007562F0"/>
    <w:rsid w:val="0076554F"/>
    <w:rsid w:val="007677F0"/>
    <w:rsid w:val="00767C9B"/>
    <w:rsid w:val="00774A73"/>
    <w:rsid w:val="00780C26"/>
    <w:rsid w:val="00781D48"/>
    <w:rsid w:val="00785BFE"/>
    <w:rsid w:val="00791314"/>
    <w:rsid w:val="007915E4"/>
    <w:rsid w:val="007951E7"/>
    <w:rsid w:val="00797941"/>
    <w:rsid w:val="007B2017"/>
    <w:rsid w:val="007B731A"/>
    <w:rsid w:val="007C753C"/>
    <w:rsid w:val="007D2E2D"/>
    <w:rsid w:val="007D3B5F"/>
    <w:rsid w:val="007D7149"/>
    <w:rsid w:val="007E1763"/>
    <w:rsid w:val="007E622E"/>
    <w:rsid w:val="007F2685"/>
    <w:rsid w:val="007F2703"/>
    <w:rsid w:val="007F3BD4"/>
    <w:rsid w:val="007F764A"/>
    <w:rsid w:val="00800AB5"/>
    <w:rsid w:val="00810434"/>
    <w:rsid w:val="00820D3B"/>
    <w:rsid w:val="00822336"/>
    <w:rsid w:val="008237FE"/>
    <w:rsid w:val="00827291"/>
    <w:rsid w:val="00830FF1"/>
    <w:rsid w:val="00832F6D"/>
    <w:rsid w:val="00835C0F"/>
    <w:rsid w:val="008406C9"/>
    <w:rsid w:val="00841E07"/>
    <w:rsid w:val="00843394"/>
    <w:rsid w:val="0085585E"/>
    <w:rsid w:val="00860026"/>
    <w:rsid w:val="0087202F"/>
    <w:rsid w:val="0087214C"/>
    <w:rsid w:val="00872844"/>
    <w:rsid w:val="00876AFE"/>
    <w:rsid w:val="008807B4"/>
    <w:rsid w:val="00881101"/>
    <w:rsid w:val="00885094"/>
    <w:rsid w:val="008932BC"/>
    <w:rsid w:val="0089347B"/>
    <w:rsid w:val="0089793B"/>
    <w:rsid w:val="008A1DA5"/>
    <w:rsid w:val="008A2CAA"/>
    <w:rsid w:val="008A44F1"/>
    <w:rsid w:val="008B2AB8"/>
    <w:rsid w:val="008C60C4"/>
    <w:rsid w:val="008C60D6"/>
    <w:rsid w:val="008C6915"/>
    <w:rsid w:val="008C76B5"/>
    <w:rsid w:val="008D373D"/>
    <w:rsid w:val="008D71A0"/>
    <w:rsid w:val="008E223E"/>
    <w:rsid w:val="008E2C7C"/>
    <w:rsid w:val="008F7808"/>
    <w:rsid w:val="0090323D"/>
    <w:rsid w:val="009036A3"/>
    <w:rsid w:val="00917245"/>
    <w:rsid w:val="009217BC"/>
    <w:rsid w:val="00931812"/>
    <w:rsid w:val="009322F3"/>
    <w:rsid w:val="0093276D"/>
    <w:rsid w:val="00944A06"/>
    <w:rsid w:val="009476A0"/>
    <w:rsid w:val="00953F69"/>
    <w:rsid w:val="009541F6"/>
    <w:rsid w:val="00960A97"/>
    <w:rsid w:val="0096139E"/>
    <w:rsid w:val="00964551"/>
    <w:rsid w:val="00974022"/>
    <w:rsid w:val="009817C0"/>
    <w:rsid w:val="009830E7"/>
    <w:rsid w:val="009835F0"/>
    <w:rsid w:val="009922D3"/>
    <w:rsid w:val="00992D5C"/>
    <w:rsid w:val="009A3284"/>
    <w:rsid w:val="009A3CA5"/>
    <w:rsid w:val="009B1C35"/>
    <w:rsid w:val="009B3122"/>
    <w:rsid w:val="009B4725"/>
    <w:rsid w:val="009C5627"/>
    <w:rsid w:val="009D4CEB"/>
    <w:rsid w:val="009D7531"/>
    <w:rsid w:val="009E0AE7"/>
    <w:rsid w:val="009E31F6"/>
    <w:rsid w:val="009E3C15"/>
    <w:rsid w:val="009F110A"/>
    <w:rsid w:val="009F482F"/>
    <w:rsid w:val="00A038A0"/>
    <w:rsid w:val="00A03E71"/>
    <w:rsid w:val="00A05F7E"/>
    <w:rsid w:val="00A2410F"/>
    <w:rsid w:val="00A25794"/>
    <w:rsid w:val="00A2663B"/>
    <w:rsid w:val="00A308B5"/>
    <w:rsid w:val="00A3477E"/>
    <w:rsid w:val="00A46401"/>
    <w:rsid w:val="00A566F1"/>
    <w:rsid w:val="00A81CB8"/>
    <w:rsid w:val="00A82D73"/>
    <w:rsid w:val="00A86C13"/>
    <w:rsid w:val="00A87D67"/>
    <w:rsid w:val="00A932CF"/>
    <w:rsid w:val="00AA762E"/>
    <w:rsid w:val="00AB1CBD"/>
    <w:rsid w:val="00AC2D0D"/>
    <w:rsid w:val="00AE0EAE"/>
    <w:rsid w:val="00AE1BF5"/>
    <w:rsid w:val="00AE3F40"/>
    <w:rsid w:val="00AE7D61"/>
    <w:rsid w:val="00AF14A3"/>
    <w:rsid w:val="00B0139C"/>
    <w:rsid w:val="00B066D8"/>
    <w:rsid w:val="00B23CD3"/>
    <w:rsid w:val="00B30B63"/>
    <w:rsid w:val="00B356CD"/>
    <w:rsid w:val="00B36D0B"/>
    <w:rsid w:val="00B41AA2"/>
    <w:rsid w:val="00B50AFD"/>
    <w:rsid w:val="00B51B07"/>
    <w:rsid w:val="00B61471"/>
    <w:rsid w:val="00B675AD"/>
    <w:rsid w:val="00B71BCD"/>
    <w:rsid w:val="00B73318"/>
    <w:rsid w:val="00BA3E0B"/>
    <w:rsid w:val="00BC4512"/>
    <w:rsid w:val="00BC67A3"/>
    <w:rsid w:val="00BD3A45"/>
    <w:rsid w:val="00BF3901"/>
    <w:rsid w:val="00C01DFD"/>
    <w:rsid w:val="00C03481"/>
    <w:rsid w:val="00C052E1"/>
    <w:rsid w:val="00C10506"/>
    <w:rsid w:val="00C16CA5"/>
    <w:rsid w:val="00C17E5C"/>
    <w:rsid w:val="00C3509B"/>
    <w:rsid w:val="00C42035"/>
    <w:rsid w:val="00C43CDB"/>
    <w:rsid w:val="00C52F07"/>
    <w:rsid w:val="00C64627"/>
    <w:rsid w:val="00C64E04"/>
    <w:rsid w:val="00C71F31"/>
    <w:rsid w:val="00C75E9C"/>
    <w:rsid w:val="00C76CB8"/>
    <w:rsid w:val="00C82714"/>
    <w:rsid w:val="00C84CDD"/>
    <w:rsid w:val="00C85EAB"/>
    <w:rsid w:val="00C90CAE"/>
    <w:rsid w:val="00C93A23"/>
    <w:rsid w:val="00C94A8C"/>
    <w:rsid w:val="00CA0778"/>
    <w:rsid w:val="00CA0E62"/>
    <w:rsid w:val="00CA35D1"/>
    <w:rsid w:val="00CA3A5F"/>
    <w:rsid w:val="00CA3E14"/>
    <w:rsid w:val="00CA666F"/>
    <w:rsid w:val="00CB1FC2"/>
    <w:rsid w:val="00CB7DC3"/>
    <w:rsid w:val="00CC1077"/>
    <w:rsid w:val="00CD0709"/>
    <w:rsid w:val="00CD2F86"/>
    <w:rsid w:val="00CF13D8"/>
    <w:rsid w:val="00CF7C46"/>
    <w:rsid w:val="00D00969"/>
    <w:rsid w:val="00D020A4"/>
    <w:rsid w:val="00D02C1A"/>
    <w:rsid w:val="00D073F6"/>
    <w:rsid w:val="00D40D1B"/>
    <w:rsid w:val="00D45819"/>
    <w:rsid w:val="00D50EA3"/>
    <w:rsid w:val="00D51ED6"/>
    <w:rsid w:val="00D530F9"/>
    <w:rsid w:val="00D546E3"/>
    <w:rsid w:val="00D5749D"/>
    <w:rsid w:val="00D6267A"/>
    <w:rsid w:val="00D63650"/>
    <w:rsid w:val="00D6600D"/>
    <w:rsid w:val="00D72D03"/>
    <w:rsid w:val="00D73546"/>
    <w:rsid w:val="00D77266"/>
    <w:rsid w:val="00D84E54"/>
    <w:rsid w:val="00D90AA5"/>
    <w:rsid w:val="00DA037D"/>
    <w:rsid w:val="00DB0FA3"/>
    <w:rsid w:val="00DB5607"/>
    <w:rsid w:val="00DB6C63"/>
    <w:rsid w:val="00DC1911"/>
    <w:rsid w:val="00DC7365"/>
    <w:rsid w:val="00DC7692"/>
    <w:rsid w:val="00DC7DFD"/>
    <w:rsid w:val="00DD404B"/>
    <w:rsid w:val="00DF3AC7"/>
    <w:rsid w:val="00DF3CAD"/>
    <w:rsid w:val="00E027B0"/>
    <w:rsid w:val="00E074AA"/>
    <w:rsid w:val="00E105CB"/>
    <w:rsid w:val="00E17D97"/>
    <w:rsid w:val="00E22BF7"/>
    <w:rsid w:val="00E24404"/>
    <w:rsid w:val="00E24BBA"/>
    <w:rsid w:val="00E33C37"/>
    <w:rsid w:val="00E3717B"/>
    <w:rsid w:val="00E42F17"/>
    <w:rsid w:val="00E43CA9"/>
    <w:rsid w:val="00E443F5"/>
    <w:rsid w:val="00E45AB5"/>
    <w:rsid w:val="00E54C2B"/>
    <w:rsid w:val="00E54CDD"/>
    <w:rsid w:val="00E5791B"/>
    <w:rsid w:val="00E64337"/>
    <w:rsid w:val="00E715C0"/>
    <w:rsid w:val="00E76667"/>
    <w:rsid w:val="00E807A8"/>
    <w:rsid w:val="00E87F7A"/>
    <w:rsid w:val="00E92E95"/>
    <w:rsid w:val="00E94B13"/>
    <w:rsid w:val="00E973F3"/>
    <w:rsid w:val="00EA255A"/>
    <w:rsid w:val="00EB0EDB"/>
    <w:rsid w:val="00EB29DA"/>
    <w:rsid w:val="00EB574C"/>
    <w:rsid w:val="00EB6E0E"/>
    <w:rsid w:val="00EC0E91"/>
    <w:rsid w:val="00EC542C"/>
    <w:rsid w:val="00ED45C7"/>
    <w:rsid w:val="00ED46CA"/>
    <w:rsid w:val="00ED4B88"/>
    <w:rsid w:val="00EE2067"/>
    <w:rsid w:val="00EE2EB4"/>
    <w:rsid w:val="00EF7FF7"/>
    <w:rsid w:val="00F01179"/>
    <w:rsid w:val="00F079A4"/>
    <w:rsid w:val="00F112CB"/>
    <w:rsid w:val="00F14808"/>
    <w:rsid w:val="00F1644E"/>
    <w:rsid w:val="00F21097"/>
    <w:rsid w:val="00F355DA"/>
    <w:rsid w:val="00F41D6C"/>
    <w:rsid w:val="00F4699B"/>
    <w:rsid w:val="00F53DB5"/>
    <w:rsid w:val="00F63FF2"/>
    <w:rsid w:val="00F6761C"/>
    <w:rsid w:val="00F86208"/>
    <w:rsid w:val="00F86B67"/>
    <w:rsid w:val="00F91324"/>
    <w:rsid w:val="00F94031"/>
    <w:rsid w:val="00F97EE1"/>
    <w:rsid w:val="00FA721E"/>
    <w:rsid w:val="00FB22B0"/>
    <w:rsid w:val="00FB33C4"/>
    <w:rsid w:val="00FB4E12"/>
    <w:rsid w:val="00FC588B"/>
    <w:rsid w:val="00FD0EC7"/>
    <w:rsid w:val="00FE0DBA"/>
    <w:rsid w:val="00FE3BCF"/>
    <w:rsid w:val="00FE41E5"/>
    <w:rsid w:val="00FF3672"/>
    <w:rsid w:val="00FF5F0B"/>
    <w:rsid w:val="00FF6594"/>
    <w:rsid w:val="00FF7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55F4"/>
  <w15:docId w15:val="{CE848463-3CA7-40C0-99B0-A4AADC04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rsid w:val="000A39F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6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0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04B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A39F2"/>
    <w:rPr>
      <w:rFonts w:ascii="Times" w:hAnsi="Times"/>
      <w:b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rsid w:val="000A39F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A39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E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B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32F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2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32F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36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6A3"/>
  </w:style>
  <w:style w:type="character" w:customStyle="1" w:styleId="CommentaireCar">
    <w:name w:val="Commentaire Car"/>
    <w:basedOn w:val="Policepardfaut"/>
    <w:link w:val="Commentaire"/>
    <w:uiPriority w:val="99"/>
    <w:semiHidden/>
    <w:rsid w:val="009036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6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6A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C0E91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A0E62"/>
  </w:style>
  <w:style w:type="character" w:customStyle="1" w:styleId="UnresolvedMention1">
    <w:name w:val="Unresolved Mention1"/>
    <w:basedOn w:val="Policepardfaut"/>
    <w:uiPriority w:val="99"/>
    <w:semiHidden/>
    <w:unhideWhenUsed/>
    <w:rsid w:val="00B013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D6D1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D6D12"/>
  </w:style>
  <w:style w:type="paragraph" w:styleId="Pieddepage">
    <w:name w:val="footer"/>
    <w:basedOn w:val="Normal"/>
    <w:link w:val="PieddepageCar"/>
    <w:uiPriority w:val="99"/>
    <w:unhideWhenUsed/>
    <w:rsid w:val="002D6D1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D12"/>
  </w:style>
  <w:style w:type="character" w:customStyle="1" w:styleId="UnresolvedMention2">
    <w:name w:val="Unresolved Mention2"/>
    <w:basedOn w:val="Policepardfaut"/>
    <w:uiPriority w:val="99"/>
    <w:semiHidden/>
    <w:unhideWhenUsed/>
    <w:rsid w:val="00013D42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00675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il">
    <w:name w:val="il"/>
    <w:basedOn w:val="Policepardfaut"/>
    <w:rsid w:val="009A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fba0AC0ARSeW5ECApsWlXQ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c38a229f-c86c-458c-98b8-afff7bf30476" xsi:nil="true"/>
    <Key xmlns="c38a229f-c86c-458c-98b8-afff7bf30476">false</Key>
    <Document_x0020_Type xmlns="c38a229f-c86c-458c-98b8-afff7bf30476">General</Document_x0020_Type>
    <Status xmlns="c38a229f-c86c-458c-98b8-afff7bf30476">Active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2E2FD377B4F4BB8F0250A3A39A8E7" ma:contentTypeVersion="12" ma:contentTypeDescription="Create a new document." ma:contentTypeScope="" ma:versionID="28bfde32f916770bbe50ad98010fe2b7">
  <xsd:schema xmlns:xsd="http://www.w3.org/2001/XMLSchema" xmlns:xs="http://www.w3.org/2001/XMLSchema" xmlns:p="http://schemas.microsoft.com/office/2006/metadata/properties" xmlns:ns2="c38a229f-c86c-458c-98b8-afff7bf30476" targetNamespace="http://schemas.microsoft.com/office/2006/metadata/properties" ma:root="true" ma:fieldsID="f9949367bbdb116fe53b43ac0d3e0849" ns2:_="">
    <xsd:import namespace="c38a229f-c86c-458c-98b8-afff7bf30476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Document_x0020_Type" minOccurs="0"/>
                <xsd:element ref="ns2:Status" minOccurs="0"/>
                <xsd:element ref="ns2:Ke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229f-c86c-458c-98b8-afff7bf30476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A short description of what's in the document can help people to find it." ma:internalName="Summary" ma:readOnly="false">
      <xsd:simpleType>
        <xsd:restriction base="dms:Note">
          <xsd:maxLength value="255"/>
        </xsd:restriction>
      </xsd:simpleType>
    </xsd:element>
    <xsd:element name="Document_x0020_Type" ma:index="9" nillable="true" ma:displayName="Document Type" ma:default="General" ma:description="Leave as general unless this is a special type of document (eg PID, CV, Meeting Report etc)" ma:format="Dropdown" ma:internalName="Document_x0020_Type" ma:readOnly="false">
      <xsd:simpleType>
        <xsd:restriction base="dms:Choice">
          <xsd:enumeration value="Budget"/>
          <xsd:enumeration value="Business Plan"/>
          <xsd:enumeration value="Contract"/>
          <xsd:enumeration value="CV"/>
          <xsd:enumeration value="Expenses"/>
          <xsd:enumeration value="General"/>
          <xsd:enumeration value="How-to / Guideline"/>
          <xsd:enumeration value="Invoice"/>
          <xsd:enumeration value="M&amp;E"/>
          <xsd:enumeration value="Meeting Notes / Minutes"/>
          <xsd:enumeration value="PID"/>
          <xsd:enumeration value="Policy"/>
          <xsd:enumeration value="Proposal"/>
          <xsd:enumeration value="Publication"/>
          <xsd:enumeration value="Trip Report"/>
        </xsd:restriction>
      </xsd:simpleType>
    </xsd:element>
    <xsd:element name="Status" ma:index="10" nillable="true" ma:displayName="Status" ma:default="Active" ma:format="Dropdown" ma:internalName="Status" ma:readOnly="false">
      <xsd:simpleType>
        <xsd:restriction base="dms:Choice">
          <xsd:enumeration value="Active"/>
          <xsd:enumeration value="Closed"/>
          <xsd:enumeration value="Archived"/>
        </xsd:restriction>
      </xsd:simpleType>
    </xsd:element>
    <xsd:element name="Key" ma:index="11" nillable="true" ma:displayName="Key" ma:default="0" ma:description="Tick if this is a key document for this project." ma:internalName="Key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218C-117E-4645-85BE-564F2C2EC47B}">
  <ds:schemaRefs>
    <ds:schemaRef ds:uri="http://schemas.microsoft.com/office/2006/metadata/properties"/>
    <ds:schemaRef ds:uri="http://schemas.microsoft.com/office/infopath/2007/PartnerControls"/>
    <ds:schemaRef ds:uri="c38a229f-c86c-458c-98b8-afff7bf30476"/>
  </ds:schemaRefs>
</ds:datastoreItem>
</file>

<file path=customXml/itemProps2.xml><?xml version="1.0" encoding="utf-8"?>
<ds:datastoreItem xmlns:ds="http://schemas.openxmlformats.org/officeDocument/2006/customXml" ds:itemID="{F02301C4-B67D-4D58-A753-2F821EB2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229f-c86c-458c-98b8-afff7bf30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3D6C1-A84C-453F-AA42-8F67CEC6A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E2F86-A43A-4A23-9341-B191011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Barry</dc:creator>
  <cp:keywords/>
  <dc:description/>
  <cp:lastModifiedBy>VB</cp:lastModifiedBy>
  <cp:revision>2</cp:revision>
  <cp:lastPrinted>2020-11-05T15:42:00Z</cp:lastPrinted>
  <dcterms:created xsi:type="dcterms:W3CDTF">2020-11-18T18:55:00Z</dcterms:created>
  <dcterms:modified xsi:type="dcterms:W3CDTF">2020-11-18T18:55:00Z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0x010100AF42E2FD377B4F4BB8F0250A3A39A8E7</vt:lpwstr>
  </property>
</Properties>
</file>